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EE22A0">
        <w:rPr>
          <w:b/>
          <w:color w:val="202124"/>
        </w:rPr>
        <w:t>Таймасовский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BF7974" w:rsidRPr="00BF7974">
        <w:rPr>
          <w:rFonts w:eastAsiaTheme="minorEastAsia"/>
          <w:b/>
          <w:bCs/>
        </w:rPr>
        <w:t xml:space="preserve"> </w:t>
      </w:r>
      <w:r>
        <w:rPr>
          <w:b/>
          <w:bCs/>
        </w:rPr>
        <w:t xml:space="preserve">в Администрации сельского поселения </w:t>
      </w:r>
      <w:r w:rsidR="00EE22A0">
        <w:rPr>
          <w:b/>
          <w:bCs/>
          <w:color w:val="202124"/>
        </w:rPr>
        <w:t>Таймасовский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EE22A0">
        <w:rPr>
          <w:color w:val="202124"/>
        </w:rPr>
        <w:t>Таймасовский</w:t>
      </w:r>
      <w:r>
        <w:rPr>
          <w:color w:val="202124"/>
        </w:rPr>
        <w:t xml:space="preserve"> сельсовет </w:t>
      </w:r>
      <w:r>
        <w:t>муниципального района Куюргазинский район Республики Башкортостан ПОСТАНОВЛЯЕТ:</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EE22A0">
        <w:rPr>
          <w:color w:val="202124"/>
        </w:rPr>
        <w:t>Таймасовский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w:t>
      </w:r>
    </w:p>
    <w:p w:rsidR="00563EAC" w:rsidRDefault="004C7922">
      <w:pPr>
        <w:spacing w:after="0" w:line="240" w:lineRule="auto"/>
        <w:ind w:firstLine="709"/>
        <w:jc w:val="both"/>
      </w:pPr>
      <w:r>
        <w:t xml:space="preserve">3.Настоящее постановление опубликовать в сети «Интернет» </w:t>
      </w:r>
      <w:hyperlink r:id="rId8" w:history="1">
        <w:r w:rsidR="00930210" w:rsidRPr="002D0B9F">
          <w:rPr>
            <w:rStyle w:val="af9"/>
            <w:lang w:val="en-US"/>
          </w:rPr>
          <w:t>http</w:t>
        </w:r>
        <w:r w:rsidR="00930210" w:rsidRPr="002D0B9F">
          <w:rPr>
            <w:rStyle w:val="af9"/>
          </w:rPr>
          <w:t>://</w:t>
        </w:r>
        <w:r w:rsidR="00EE22A0">
          <w:rPr>
            <w:rStyle w:val="af9"/>
            <w:lang w:val="en-US"/>
          </w:rPr>
          <w:t>taimasovo</w:t>
        </w:r>
        <w:r w:rsidR="00930210" w:rsidRPr="002D0B9F">
          <w:rPr>
            <w:rStyle w:val="af9"/>
          </w:rPr>
          <w:t>.</w:t>
        </w:r>
        <w:r w:rsidR="00930210" w:rsidRPr="002D0B9F">
          <w:rPr>
            <w:rStyle w:val="af9"/>
            <w:lang w:val="en-US"/>
          </w:rPr>
          <w:t>ru</w:t>
        </w:r>
        <w:r w:rsidR="00930210" w:rsidRPr="002D0B9F">
          <w:rPr>
            <w:rStyle w:val="af9"/>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Pr="00930210" w:rsidRDefault="004C7922">
      <w:pPr>
        <w:jc w:val="both"/>
      </w:pPr>
      <w:r>
        <w:rPr>
          <w:b/>
        </w:rPr>
        <w:t xml:space="preserve">Глава сельского поселения                                       </w:t>
      </w:r>
      <w:r w:rsidR="00456B3C">
        <w:rPr>
          <w:b/>
        </w:rPr>
        <w:t xml:space="preserve">         </w:t>
      </w:r>
      <w:r>
        <w:rPr>
          <w:b/>
        </w:rPr>
        <w:t xml:space="preserve">  </w:t>
      </w:r>
      <w:r w:rsidR="00456B3C" w:rsidRPr="00456B3C">
        <w:rPr>
          <w:b/>
        </w:rPr>
        <w:t xml:space="preserve">    </w:t>
      </w:r>
      <w:r w:rsidR="00456B3C">
        <w:rPr>
          <w:b/>
        </w:rPr>
        <w:t xml:space="preserve"> И.И.Юлдыбаев</w:t>
      </w:r>
      <w:r>
        <w:rPr>
          <w:b/>
        </w:rPr>
        <w:t xml:space="preserve">                      </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Pr="00456B3C" w:rsidRDefault="004C7922" w:rsidP="00456B3C">
      <w:pPr>
        <w:tabs>
          <w:tab w:val="left" w:pos="7425"/>
        </w:tabs>
        <w:spacing w:after="0"/>
        <w:ind w:left="5387"/>
        <w:jc w:val="right"/>
        <w:rPr>
          <w:sz w:val="24"/>
          <w:szCs w:val="24"/>
        </w:rPr>
      </w:pPr>
      <w:r w:rsidRPr="00456B3C">
        <w:rPr>
          <w:sz w:val="24"/>
          <w:szCs w:val="24"/>
        </w:rPr>
        <w:lastRenderedPageBreak/>
        <w:t xml:space="preserve">Утвержден постановлением Администрации </w:t>
      </w:r>
    </w:p>
    <w:p w:rsidR="00563EAC" w:rsidRPr="00456B3C" w:rsidRDefault="004C7922" w:rsidP="00456B3C">
      <w:pPr>
        <w:tabs>
          <w:tab w:val="left" w:pos="7425"/>
        </w:tabs>
        <w:spacing w:after="0"/>
        <w:ind w:left="5387"/>
        <w:jc w:val="right"/>
        <w:rPr>
          <w:sz w:val="24"/>
          <w:szCs w:val="24"/>
        </w:rPr>
      </w:pPr>
      <w:r w:rsidRPr="00456B3C">
        <w:rPr>
          <w:bCs/>
          <w:sz w:val="24"/>
          <w:szCs w:val="24"/>
        </w:rPr>
        <w:t xml:space="preserve">сельского поселения </w:t>
      </w:r>
      <w:r w:rsidR="00EE22A0" w:rsidRPr="00456B3C">
        <w:rPr>
          <w:bCs/>
          <w:color w:val="202124"/>
          <w:sz w:val="24"/>
          <w:szCs w:val="24"/>
        </w:rPr>
        <w:t>Таймасовский</w:t>
      </w:r>
      <w:r w:rsidRPr="00456B3C">
        <w:rPr>
          <w:bCs/>
          <w:color w:val="202124"/>
          <w:sz w:val="24"/>
          <w:szCs w:val="24"/>
        </w:rPr>
        <w:t xml:space="preserve"> </w:t>
      </w:r>
    </w:p>
    <w:p w:rsidR="00563EAC" w:rsidRPr="00456B3C" w:rsidRDefault="004C7922" w:rsidP="00456B3C">
      <w:pPr>
        <w:tabs>
          <w:tab w:val="left" w:pos="7425"/>
        </w:tabs>
        <w:spacing w:after="0"/>
        <w:ind w:left="5387"/>
        <w:jc w:val="right"/>
        <w:rPr>
          <w:sz w:val="24"/>
          <w:szCs w:val="24"/>
        </w:rPr>
      </w:pPr>
      <w:r w:rsidRPr="00456B3C">
        <w:rPr>
          <w:bCs/>
          <w:color w:val="202124"/>
          <w:sz w:val="24"/>
          <w:szCs w:val="24"/>
        </w:rPr>
        <w:t>сельсовет</w:t>
      </w:r>
      <w:r w:rsidRPr="00456B3C">
        <w:rPr>
          <w:bCs/>
          <w:sz w:val="24"/>
          <w:szCs w:val="24"/>
        </w:rPr>
        <w:t xml:space="preserve"> муниципального района </w:t>
      </w:r>
    </w:p>
    <w:p w:rsidR="00563EAC" w:rsidRPr="00456B3C" w:rsidRDefault="004C7922" w:rsidP="00456B3C">
      <w:pPr>
        <w:tabs>
          <w:tab w:val="left" w:pos="7425"/>
        </w:tabs>
        <w:spacing w:after="0"/>
        <w:ind w:left="5387"/>
        <w:jc w:val="right"/>
        <w:rPr>
          <w:sz w:val="24"/>
          <w:szCs w:val="24"/>
        </w:rPr>
      </w:pPr>
      <w:r w:rsidRPr="00456B3C">
        <w:rPr>
          <w:bCs/>
          <w:sz w:val="24"/>
          <w:szCs w:val="24"/>
        </w:rPr>
        <w:t>Куюргазинский район Республики Башкортостан</w:t>
      </w:r>
    </w:p>
    <w:p w:rsidR="00563EAC" w:rsidRPr="00456B3C" w:rsidRDefault="004C7922" w:rsidP="00456B3C">
      <w:pPr>
        <w:widowControl w:val="0"/>
        <w:tabs>
          <w:tab w:val="left" w:pos="7425"/>
        </w:tabs>
        <w:autoSpaceDE w:val="0"/>
        <w:spacing w:after="0" w:line="240" w:lineRule="auto"/>
        <w:ind w:left="5387" w:firstLine="851"/>
        <w:jc w:val="right"/>
        <w:rPr>
          <w:sz w:val="24"/>
          <w:szCs w:val="24"/>
        </w:rPr>
      </w:pPr>
      <w:r w:rsidRPr="00456B3C">
        <w:rPr>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EE22A0">
        <w:rPr>
          <w:b/>
          <w:bCs/>
          <w:color w:val="202124"/>
        </w:rPr>
        <w:t>Таймасовский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EE22A0">
        <w:rPr>
          <w:color w:val="202124"/>
        </w:rPr>
        <w:t>Таймасовский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EE22A0">
        <w:rPr>
          <w:rFonts w:eastAsia="Calibri"/>
          <w:color w:val="202124"/>
        </w:rPr>
        <w:t>Таймасовский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 xml:space="preserve">(далее – Администрация </w:t>
      </w:r>
      <w:r>
        <w:rPr>
          <w:rFonts w:eastAsia="Calibri"/>
        </w:rPr>
        <w:lastRenderedPageBreak/>
        <w:t>(</w:t>
      </w:r>
      <w: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r w:rsidR="00060196">
        <w:rPr>
          <w:color w:val="000000"/>
        </w:rPr>
        <w:t xml:space="preserve"> </w:t>
      </w:r>
      <w:hyperlink r:id="rId10" w:history="1">
        <w:r w:rsidR="00060196" w:rsidRPr="008725D3">
          <w:rPr>
            <w:rStyle w:val="af9"/>
            <w:rFonts w:eastAsia="Calibri"/>
            <w:lang w:val="en-US"/>
          </w:rPr>
          <w:t>http</w:t>
        </w:r>
        <w:r w:rsidR="00060196" w:rsidRPr="008725D3">
          <w:rPr>
            <w:rStyle w:val="af9"/>
            <w:rFonts w:eastAsia="Calibri"/>
          </w:rPr>
          <w:t>://</w:t>
        </w:r>
        <w:r w:rsidR="00EE22A0">
          <w:rPr>
            <w:rStyle w:val="af9"/>
            <w:rFonts w:eastAsia="Calibri"/>
            <w:lang w:val="en-US"/>
          </w:rPr>
          <w:t>taimasovo</w:t>
        </w:r>
        <w:r w:rsidR="00060196" w:rsidRPr="008725D3">
          <w:rPr>
            <w:rStyle w:val="af9"/>
            <w:rFonts w:eastAsia="Calibri"/>
          </w:rPr>
          <w:t>.</w:t>
        </w:r>
        <w:r w:rsidR="00060196" w:rsidRPr="008725D3">
          <w:rPr>
            <w:rStyle w:val="af9"/>
            <w:rFonts w:eastAsia="Calibri"/>
            <w:lang w:val="en-US"/>
          </w:rPr>
          <w:t>ru</w:t>
        </w:r>
        <w:r w:rsidR="00060196" w:rsidRPr="008725D3">
          <w:rPr>
            <w:rStyle w:val="af9"/>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EE22A0">
        <w:rPr>
          <w:rFonts w:eastAsia="Calibri"/>
          <w:color w:val="202124"/>
        </w:rPr>
        <w:t>Таймасовский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EE22A0">
        <w:rPr>
          <w:color w:val="202124"/>
        </w:rPr>
        <w:t>Таймасовский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8"/>
        </w:rPr>
        <w:footnoteReference w:id="2"/>
      </w:r>
      <w:r w:rsidRPr="00FB4CB2">
        <w:rPr>
          <w:sz w:val="16"/>
          <w:szCs w:val="16"/>
          <w:highlight w:val="yellow"/>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930210">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t xml:space="preserve">2.8.4. Правоустанавливающие документы на земельный участок и (или) здания, строения, сооружения, помещения, расположенные на соответствующем </w:t>
      </w:r>
      <w:r>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 xml:space="preserve">2.11.2. представления документов и информации, которые в соответствии с </w:t>
      </w:r>
      <w: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Pr>
          <w:rFonts w:eastAsia="Calibri"/>
        </w:rPr>
        <w:lastRenderedPageBreak/>
        <w:t>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w:t>
      </w:r>
      <w:r>
        <w:lastRenderedPageBreak/>
        <w:t>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lastRenderedPageBreak/>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lastRenderedPageBreak/>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lastRenderedPageBreak/>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w:t>
      </w:r>
      <w:r>
        <w:lastRenderedPageBreak/>
        <w:t xml:space="preserve">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lastRenderedPageBreak/>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lastRenderedPageBreak/>
        <w:t xml:space="preserve">Администрации сельского поселения </w:t>
      </w:r>
      <w:r w:rsidR="00EE22A0">
        <w:rPr>
          <w:color w:val="202124"/>
        </w:rPr>
        <w:t>Таймасовский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EE22A0">
        <w:rPr>
          <w:color w:val="202124"/>
        </w:rPr>
        <w:t>Таймасовский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lastRenderedPageBreak/>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lastRenderedPageBreak/>
        <w:t>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lastRenderedPageBreak/>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lastRenderedPageBreak/>
        <w:t xml:space="preserve">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 xml:space="preserve">3.5. В случае выявления опечаток и ошибок заявитель вправе обратиться в Администрацию (Уполномоченный орган), многофункциональный центр с </w:t>
      </w:r>
      <w:r>
        <w:lastRenderedPageBreak/>
        <w:t>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lastRenderedPageBreak/>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lastRenderedPageBreak/>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lastRenderedPageBreak/>
        <w:t>(Уполномоченного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lastRenderedPageBreak/>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 xml:space="preserve">5.3. Жалоба на решения и действия (бездействие) Администрации (Уполномоченного органа), должностного лица Администрации (Уполномоченного </w:t>
      </w:r>
      <w:r>
        <w:lastRenderedPageBreak/>
        <w:t>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EE22A0">
        <w:rPr>
          <w:color w:val="202124"/>
        </w:rPr>
        <w:t>Таймасовский</w:t>
      </w:r>
      <w:r w:rsidR="00930210">
        <w:rPr>
          <w:color w:val="202124"/>
        </w:rPr>
        <w:t xml:space="preserve"> </w:t>
      </w:r>
      <w:r>
        <w:rPr>
          <w:color w:val="202124"/>
        </w:rPr>
        <w:t xml:space="preserve">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lastRenderedPageBreak/>
        <w:t>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lastRenderedPageBreak/>
        <w:t>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lastRenderedPageBreak/>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56B3C" w:rsidRDefault="00456B3C">
      <w:pPr>
        <w:spacing w:after="0" w:line="240" w:lineRule="auto"/>
        <w:ind w:firstLine="709"/>
        <w:jc w:val="both"/>
        <w:rPr>
          <w:bCs/>
        </w:rPr>
      </w:pPr>
    </w:p>
    <w:p w:rsidR="009C598F" w:rsidRDefault="009C598F">
      <w:pPr>
        <w:spacing w:after="0" w:line="240" w:lineRule="auto"/>
        <w:ind w:firstLine="709"/>
        <w:jc w:val="both"/>
        <w:rPr>
          <w:bCs/>
        </w:rPr>
      </w:pPr>
    </w:p>
    <w:p w:rsidR="00456B3C" w:rsidRDefault="00456B3C">
      <w:pPr>
        <w:spacing w:after="0" w:line="240" w:lineRule="auto"/>
        <w:ind w:firstLine="709"/>
        <w:jc w:val="both"/>
        <w:rPr>
          <w:bCs/>
        </w:rPr>
      </w:pPr>
      <w:r>
        <w:rPr>
          <w:bCs/>
        </w:rPr>
        <w:t xml:space="preserve">Управляющий делами              </w:t>
      </w:r>
      <w:r w:rsidR="009C598F">
        <w:rPr>
          <w:bCs/>
        </w:rPr>
        <w:t xml:space="preserve">          </w:t>
      </w:r>
      <w:r>
        <w:rPr>
          <w:bCs/>
        </w:rPr>
        <w:t xml:space="preserve">                                     Ф.Р.Валидова</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 xml:space="preserve">Ориентировочная дата выдачи итогового(-ых) </w:t>
            </w:r>
            <w:r>
              <w:rPr>
                <w:sz w:val="27"/>
                <w:szCs w:val="27"/>
              </w:rPr>
              <w:lastRenderedPageBreak/>
              <w:t>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F8" w:rsidRDefault="00C92CF8" w:rsidP="00563EAC">
      <w:pPr>
        <w:spacing w:after="0" w:line="240" w:lineRule="auto"/>
      </w:pPr>
      <w:r>
        <w:separator/>
      </w:r>
    </w:p>
  </w:endnote>
  <w:endnote w:type="continuationSeparator" w:id="1">
    <w:p w:rsidR="00C92CF8" w:rsidRDefault="00C92CF8"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F8" w:rsidRDefault="00C92CF8">
      <w:r>
        <w:separator/>
      </w:r>
    </w:p>
  </w:footnote>
  <w:footnote w:type="continuationSeparator" w:id="1">
    <w:p w:rsidR="00C92CF8" w:rsidRDefault="00C92CF8">
      <w:r>
        <w:continuationSeparator/>
      </w:r>
    </w:p>
  </w:footnote>
  <w:footnote w:id="2">
    <w:p w:rsidR="00EE22A0" w:rsidRDefault="00EE22A0">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E22A0" w:rsidRDefault="00EE22A0">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EE22A0" w:rsidRDefault="00EE22A0">
        <w:pPr>
          <w:pStyle w:val="Header"/>
          <w:jc w:val="center"/>
        </w:pPr>
        <w:fldSimple w:instr="PAGE">
          <w:r w:rsidR="009C598F">
            <w:rPr>
              <w:noProof/>
            </w:rPr>
            <w:t>61</w:t>
          </w:r>
        </w:fldSimple>
      </w:p>
    </w:sdtContent>
  </w:sdt>
  <w:p w:rsidR="00EE22A0" w:rsidRDefault="00EE22A0">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060196"/>
    <w:rsid w:val="00456B3C"/>
    <w:rsid w:val="004C37D6"/>
    <w:rsid w:val="004C7922"/>
    <w:rsid w:val="00560F1B"/>
    <w:rsid w:val="00563EAC"/>
    <w:rsid w:val="00616DB4"/>
    <w:rsid w:val="006216E8"/>
    <w:rsid w:val="00810582"/>
    <w:rsid w:val="00930210"/>
    <w:rsid w:val="009C598F"/>
    <w:rsid w:val="00A67F8B"/>
    <w:rsid w:val="00A8259A"/>
    <w:rsid w:val="00BF7974"/>
    <w:rsid w:val="00C92CF8"/>
    <w:rsid w:val="00EE22A0"/>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93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4010-074E-4A47-8B3A-83F2E55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20840</Words>
  <Characters>118789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TAYIMAS</cp:lastModifiedBy>
  <cp:revision>14</cp:revision>
  <cp:lastPrinted>2018-11-01T11:58:00Z</cp:lastPrinted>
  <dcterms:created xsi:type="dcterms:W3CDTF">2018-12-25T09:15:00Z</dcterms:created>
  <dcterms:modified xsi:type="dcterms:W3CDTF">2019-01-16T09:45:00Z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